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313" w:beforeLines="100" w:after="313" w:afterLines="100" w:line="560" w:lineRule="exact"/>
        <w:jc w:val="center"/>
        <w:textAlignment w:val="auto"/>
        <w:rPr>
          <w:rFonts w:hint="eastAsia" w:ascii="方正小标宋简体" w:hAnsi="方正小标宋简体" w:eastAsia="方正小标宋简体" w:cs="方正小标宋简体"/>
          <w:b/>
          <w:bCs/>
          <w:kern w:val="0"/>
          <w:sz w:val="44"/>
          <w:szCs w:val="44"/>
        </w:rPr>
      </w:pPr>
      <w:r>
        <w:rPr>
          <w:rFonts w:hint="eastAsia" w:ascii="方正小标宋简体" w:hAnsi="方正小标宋简体" w:eastAsia="方正小标宋简体" w:cs="方正小标宋简体"/>
          <w:b/>
          <w:bCs/>
          <w:kern w:val="0"/>
          <w:sz w:val="44"/>
          <w:szCs w:val="44"/>
        </w:rPr>
        <w:t>中西医结合外科</w:t>
      </w:r>
      <w:r>
        <w:rPr>
          <w:rFonts w:hint="eastAsia" w:ascii="方正小标宋简体" w:hAnsi="方正小标宋简体" w:eastAsia="方正小标宋简体" w:cs="方正小标宋简体"/>
          <w:b/>
          <w:bCs/>
          <w:kern w:val="0"/>
          <w:sz w:val="44"/>
          <w:szCs w:val="44"/>
          <w:lang w:val="en-US" w:eastAsia="zh-CN"/>
        </w:rPr>
        <w:t>临床医师规范化</w:t>
      </w:r>
      <w:r>
        <w:rPr>
          <w:rFonts w:hint="eastAsia" w:ascii="方正小标宋简体" w:hAnsi="方正小标宋简体" w:eastAsia="方正小标宋简体" w:cs="方正小标宋简体"/>
          <w:b/>
          <w:bCs/>
          <w:kern w:val="0"/>
          <w:sz w:val="44"/>
          <w:szCs w:val="44"/>
        </w:rPr>
        <w:t>进修</w:t>
      </w:r>
    </w:p>
    <w:p>
      <w:pPr>
        <w:keepNext w:val="0"/>
        <w:keepLines w:val="0"/>
        <w:pageBreakBefore w:val="0"/>
        <w:widowControl w:val="0"/>
        <w:kinsoku/>
        <w:wordWrap/>
        <w:overflowPunct/>
        <w:topLinePunct w:val="0"/>
        <w:autoSpaceDE/>
        <w:autoSpaceDN/>
        <w:bidi w:val="0"/>
        <w:adjustRightInd/>
        <w:snapToGrid/>
        <w:spacing w:before="313" w:beforeLines="100" w:after="313" w:afterLines="100" w:line="560" w:lineRule="exact"/>
        <w:jc w:val="center"/>
        <w:textAlignment w:val="auto"/>
        <w:rPr>
          <w:rFonts w:hint="eastAsia" w:ascii="方正小标宋简体" w:hAnsi="方正小标宋简体" w:eastAsia="方正小标宋简体" w:cs="方正小标宋简体"/>
          <w:b/>
          <w:bCs/>
          <w:kern w:val="0"/>
          <w:sz w:val="44"/>
          <w:szCs w:val="44"/>
        </w:rPr>
      </w:pPr>
      <w:r>
        <w:rPr>
          <w:rFonts w:hint="eastAsia" w:ascii="方正小标宋简体" w:hAnsi="方正小标宋简体" w:eastAsia="方正小标宋简体" w:cs="方正小标宋简体"/>
          <w:b/>
          <w:bCs/>
          <w:kern w:val="0"/>
          <w:sz w:val="44"/>
          <w:szCs w:val="44"/>
        </w:rPr>
        <w:t>招生简章</w:t>
      </w:r>
    </w:p>
    <w:p>
      <w:pPr>
        <w:keepNext w:val="0"/>
        <w:keepLines w:val="0"/>
        <w:pageBreakBefore w:val="0"/>
        <w:widowControl w:val="0"/>
        <w:kinsoku/>
        <w:wordWrap/>
        <w:overflowPunct/>
        <w:topLinePunct w:val="0"/>
        <w:autoSpaceDE/>
        <w:autoSpaceDN/>
        <w:bidi w:val="0"/>
        <w:adjustRightInd/>
        <w:snapToGrid/>
        <w:spacing w:after="0" w:line="560" w:lineRule="exact"/>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一、科室简介</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川大学华西医院中西医结合外科，隶属于国家教育部级一级学科排名全国前三的四川大学华西临床医学院＼华西医院的中西医结合中心，作为其主要支柱专业之一，是西南地区中西医结合肛肠疑、难、重、危疾病的诊治中心，也是科研、教学及临床规范化建设培训的基地，为国家西部盆底肛门病诊治中心之一。华西医院中西医结合外科为"国家临床重点专科"、"国家中西医结合旗舰科室"、"四川省中医肛肠重点专科"。</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2012年，根据华西本部统筹部署。中西医结合外科全部整体搬迁至上锦，现设定床位57张，疑难重症患者约占40%。主持包括国家重点研发计划课题、国家自然科学基金面上及青年基金等国家、省、部、市级课题20余项，发表专业相关论文100余篇，其中多篇被 SCI 、 Medline 收录。凭借丰富的科研成果，独创了一系列极具特色优势的术式。</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、"分段切除伴肛门成形"治疗环状混台特，既彻底切除了病变组织，减少了患者术后复发几率，又减少了患者痛苦及手术并发后遗症；</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、"括约肌固定部分切开挂线及生物材料填补市"治疗高位复杂性肛瘘，极大的减少了患者的痛苦，并在保证治愈的同时尽可能地保全了患者的肛门括约肌功能；</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、"置管引流，负压吸引术"及分期手术的方式治疗高位多间隙脓肿，缩小需切除的病变组织，快速控制感染；</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、"内括约肌部分切开扩肛加皮瓣游离覆盖"治疗陈旧性肛裂，有效解除患者的肛门狭窄，减少了术后肛裂复发的可能。</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华西医院中西医结合外科党支部始终以病人为中心，全心全意为人民服务为宗旨，秉承"科研、创新、服务、关怀"的理念，在盆底肛门病的诊治，手术及围手术期护理方面，不断创新，提升专科诊疗、服务水平，力求为患者提供更好的医疗服务。采用了围手术期多模式超前镇痛的快速康复方案，进一步减轻患者术后疼痛，并在护理“品管圈管理”的帮助下创立"无痛阳光病房"。该中心的疗效及满意度，长期位列西南地区前列，受到患者的一致好评，并获得四川省科技进步三等奖。</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目前华西医院中西医结合外科多名专家在国家级肛肠专业相关学会担任副会长、理事及专家委员会委员等。作为西南地区中西医结合肛肠诊治中心之一，常年接收省市及基层医院的进修医师。同时，与全国各大肛肠诊治中心保持协助关系，共同诊治疑、难、重、危患者，并长期为基层提高技术支持。</w:t>
      </w:r>
    </w:p>
    <w:p>
      <w:pPr>
        <w:keepNext w:val="0"/>
        <w:keepLines w:val="0"/>
        <w:pageBreakBefore w:val="0"/>
        <w:widowControl w:val="0"/>
        <w:kinsoku/>
        <w:wordWrap/>
        <w:overflowPunct/>
        <w:topLinePunct w:val="0"/>
        <w:autoSpaceDE/>
        <w:autoSpaceDN/>
        <w:bidi w:val="0"/>
        <w:adjustRightInd/>
        <w:snapToGrid/>
        <w:spacing w:after="0" w:line="560" w:lineRule="exact"/>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二、进修简介</w:t>
      </w:r>
    </w:p>
    <w:p>
      <w:pPr>
        <w:keepNext w:val="0"/>
        <w:keepLines w:val="0"/>
        <w:pageBreakBefore w:val="0"/>
        <w:widowControl w:val="0"/>
        <w:kinsoku/>
        <w:wordWrap/>
        <w:overflowPunct/>
        <w:topLinePunct w:val="0"/>
        <w:autoSpaceDE/>
        <w:autoSpaceDN/>
        <w:bidi w:val="0"/>
        <w:adjustRightInd/>
        <w:snapToGrid/>
        <w:spacing w:after="0" w:line="560" w:lineRule="exact"/>
        <w:textAlignment w:val="auto"/>
        <w:rPr>
          <w:rFonts w:hint="eastAsia" w:ascii="楷体" w:hAnsi="楷体" w:eastAsia="楷体" w:cs="楷体"/>
          <w:b w:val="0"/>
          <w:bCs/>
          <w:kern w:val="0"/>
          <w:sz w:val="32"/>
          <w:szCs w:val="32"/>
        </w:rPr>
      </w:pPr>
      <w:r>
        <w:rPr>
          <w:rFonts w:hint="eastAsia" w:ascii="楷体" w:hAnsi="楷体" w:eastAsia="楷体" w:cs="楷体"/>
          <w:b w:val="0"/>
          <w:bCs/>
          <w:kern w:val="0"/>
          <w:sz w:val="32"/>
          <w:szCs w:val="32"/>
          <w:lang w:eastAsia="zh-CN"/>
        </w:rPr>
        <w:t>（</w:t>
      </w:r>
      <w:r>
        <w:rPr>
          <w:rFonts w:hint="eastAsia" w:ascii="楷体" w:hAnsi="楷体" w:eastAsia="楷体" w:cs="楷体"/>
          <w:b w:val="0"/>
          <w:bCs/>
          <w:kern w:val="0"/>
          <w:sz w:val="32"/>
          <w:szCs w:val="32"/>
          <w:lang w:val="en-US" w:eastAsia="zh-CN"/>
        </w:rPr>
        <w:t>一</w:t>
      </w:r>
      <w:r>
        <w:rPr>
          <w:rFonts w:hint="eastAsia" w:ascii="楷体" w:hAnsi="楷体" w:eastAsia="楷体" w:cs="楷体"/>
          <w:b w:val="0"/>
          <w:bCs/>
          <w:kern w:val="0"/>
          <w:sz w:val="32"/>
          <w:szCs w:val="32"/>
          <w:lang w:eastAsia="zh-CN"/>
        </w:rPr>
        <w:t>）</w:t>
      </w:r>
      <w:r>
        <w:rPr>
          <w:rFonts w:hint="eastAsia" w:ascii="楷体" w:hAnsi="楷体" w:eastAsia="楷体" w:cs="楷体"/>
          <w:b w:val="0"/>
          <w:bCs/>
          <w:kern w:val="0"/>
          <w:sz w:val="32"/>
          <w:szCs w:val="32"/>
        </w:rPr>
        <w:t>进修培养方向</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本科室聚焦肛肠专科领域，重点围绕肛肠疾病的精准诊治、专科临床操作技能精进及临床科研思维构建三大核心维度，开展进修医师系统化培养。通过针对性训练，显著提升进修医师的专科理论素养与临床实践能力，最终打造一批业务功底扎实、专业技术精湛且具备高度职业责任感的肛肠专科骨干医师。</w:t>
      </w:r>
    </w:p>
    <w:p>
      <w:pPr>
        <w:keepNext w:val="0"/>
        <w:keepLines w:val="0"/>
        <w:pageBreakBefore w:val="0"/>
        <w:widowControl w:val="0"/>
        <w:kinsoku/>
        <w:wordWrap/>
        <w:overflowPunct/>
        <w:topLinePunct w:val="0"/>
        <w:autoSpaceDE/>
        <w:autoSpaceDN/>
        <w:bidi w:val="0"/>
        <w:adjustRightInd/>
        <w:snapToGrid/>
        <w:spacing w:after="0" w:line="560" w:lineRule="exact"/>
        <w:textAlignment w:val="auto"/>
        <w:rPr>
          <w:rFonts w:hint="eastAsia" w:ascii="楷体" w:hAnsi="楷体" w:eastAsia="楷体" w:cs="楷体"/>
          <w:b w:val="0"/>
          <w:bCs/>
          <w:kern w:val="0"/>
          <w:sz w:val="32"/>
          <w:szCs w:val="32"/>
        </w:rPr>
      </w:pPr>
      <w:r>
        <w:rPr>
          <w:rFonts w:hint="eastAsia" w:ascii="楷体" w:hAnsi="楷体" w:eastAsia="楷体" w:cs="楷体"/>
          <w:b w:val="0"/>
          <w:bCs/>
          <w:kern w:val="0"/>
          <w:sz w:val="32"/>
          <w:szCs w:val="32"/>
          <w:lang w:eastAsia="zh-CN"/>
        </w:rPr>
        <w:t>（</w:t>
      </w:r>
      <w:r>
        <w:rPr>
          <w:rFonts w:hint="eastAsia" w:ascii="楷体" w:hAnsi="楷体" w:eastAsia="楷体" w:cs="楷体"/>
          <w:b w:val="0"/>
          <w:bCs/>
          <w:kern w:val="0"/>
          <w:sz w:val="32"/>
          <w:szCs w:val="32"/>
          <w:lang w:val="en-US" w:eastAsia="zh-CN"/>
        </w:rPr>
        <w:t>二</w:t>
      </w:r>
      <w:r>
        <w:rPr>
          <w:rFonts w:hint="eastAsia" w:ascii="楷体" w:hAnsi="楷体" w:eastAsia="楷体" w:cs="楷体"/>
          <w:b w:val="0"/>
          <w:bCs/>
          <w:kern w:val="0"/>
          <w:sz w:val="32"/>
          <w:szCs w:val="32"/>
          <w:lang w:eastAsia="zh-CN"/>
        </w:rPr>
        <w:t>）</w:t>
      </w:r>
      <w:r>
        <w:rPr>
          <w:rFonts w:hint="eastAsia" w:ascii="楷体" w:hAnsi="楷体" w:eastAsia="楷体" w:cs="楷体"/>
          <w:b w:val="0"/>
          <w:bCs/>
          <w:kern w:val="0"/>
          <w:sz w:val="32"/>
          <w:szCs w:val="32"/>
        </w:rPr>
        <w:t>招生对象、进修时限及招录安排</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rPr>
        <w:t>招生对象：面向具备3年及以上临床工作经验，已取得医师资格证书及执业证书的在岗医师；</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招录规模：每期限招10人，确保教学质量与带教效果；</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3.</w:t>
      </w:r>
      <w:r>
        <w:rPr>
          <w:rFonts w:hint="eastAsia" w:ascii="仿宋_GB2312" w:hAnsi="仿宋_GB2312" w:eastAsia="仿宋_GB2312" w:cs="仿宋_GB2312"/>
          <w:kern w:val="0"/>
          <w:sz w:val="32"/>
          <w:szCs w:val="32"/>
        </w:rPr>
        <w:t>招录频次及进修时限：每年分春、秋两季组织招录，进修周期设置为半年或一年，供进修医师根据自身需求选择。</w:t>
      </w:r>
    </w:p>
    <w:p>
      <w:pPr>
        <w:keepNext w:val="0"/>
        <w:keepLines w:val="0"/>
        <w:pageBreakBefore w:val="0"/>
        <w:widowControl w:val="0"/>
        <w:kinsoku/>
        <w:wordWrap/>
        <w:overflowPunct/>
        <w:topLinePunct w:val="0"/>
        <w:autoSpaceDE/>
        <w:autoSpaceDN/>
        <w:bidi w:val="0"/>
        <w:adjustRightInd/>
        <w:snapToGrid/>
        <w:spacing w:after="0" w:line="560" w:lineRule="exact"/>
        <w:textAlignment w:val="auto"/>
        <w:rPr>
          <w:rFonts w:hint="eastAsia" w:ascii="楷体" w:hAnsi="楷体" w:eastAsia="楷体" w:cs="楷体"/>
          <w:b w:val="0"/>
          <w:bCs/>
          <w:kern w:val="0"/>
          <w:sz w:val="32"/>
          <w:szCs w:val="32"/>
        </w:rPr>
      </w:pPr>
      <w:r>
        <w:rPr>
          <w:rFonts w:hint="eastAsia" w:ascii="楷体" w:hAnsi="楷体" w:eastAsia="楷体" w:cs="楷体"/>
          <w:b w:val="0"/>
          <w:bCs/>
          <w:kern w:val="0"/>
          <w:sz w:val="32"/>
          <w:szCs w:val="32"/>
          <w:lang w:eastAsia="zh-CN"/>
        </w:rPr>
        <w:t>（</w:t>
      </w:r>
      <w:r>
        <w:rPr>
          <w:rFonts w:hint="eastAsia" w:ascii="楷体" w:hAnsi="楷体" w:eastAsia="楷体" w:cs="楷体"/>
          <w:b w:val="0"/>
          <w:bCs/>
          <w:kern w:val="0"/>
          <w:sz w:val="32"/>
          <w:szCs w:val="32"/>
          <w:lang w:val="en-US" w:eastAsia="zh-CN"/>
        </w:rPr>
        <w:t>三</w:t>
      </w:r>
      <w:r>
        <w:rPr>
          <w:rFonts w:hint="eastAsia" w:ascii="楷体" w:hAnsi="楷体" w:eastAsia="楷体" w:cs="楷体"/>
          <w:b w:val="0"/>
          <w:bCs/>
          <w:kern w:val="0"/>
          <w:sz w:val="32"/>
          <w:szCs w:val="32"/>
          <w:lang w:eastAsia="zh-CN"/>
        </w:rPr>
        <w:t>）</w:t>
      </w:r>
      <w:r>
        <w:rPr>
          <w:rFonts w:hint="eastAsia" w:ascii="楷体" w:hAnsi="楷体" w:eastAsia="楷体" w:cs="楷体"/>
          <w:b w:val="0"/>
          <w:bCs/>
          <w:kern w:val="0"/>
          <w:sz w:val="32"/>
          <w:szCs w:val="32"/>
        </w:rPr>
        <w:t>培训内容与实施形式</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rPr>
        <w:t>核心培训内容</w:t>
      </w:r>
    </w:p>
    <w:p>
      <w:pPr>
        <w:keepNext w:val="0"/>
        <w:keepLines w:val="0"/>
        <w:pageBreakBefore w:val="0"/>
        <w:widowControl w:val="0"/>
        <w:kinsoku/>
        <w:wordWrap/>
        <w:overflowPunct/>
        <w:topLinePunct w:val="0"/>
        <w:autoSpaceDE/>
        <w:autoSpaceDN/>
        <w:bidi w:val="0"/>
        <w:adjustRightInd/>
        <w:snapToGrid/>
        <w:spacing w:after="0" w:line="560" w:lineRule="exact"/>
        <w:ind w:firstLine="42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专科基础与临床技能：系统涵盖痔、肛周脓肿、肛瘘、藏毛窦、肛周湿疹、肛裂等常见及疑难肛肠疾病的基础理论、诊疗规范与核心操作技能；</w:t>
      </w:r>
    </w:p>
    <w:p>
      <w:pPr>
        <w:keepNext w:val="0"/>
        <w:keepLines w:val="0"/>
        <w:pageBreakBefore w:val="0"/>
        <w:widowControl w:val="0"/>
        <w:kinsoku/>
        <w:wordWrap/>
        <w:overflowPunct/>
        <w:topLinePunct w:val="0"/>
        <w:autoSpaceDE/>
        <w:autoSpaceDN/>
        <w:bidi w:val="0"/>
        <w:adjustRightInd/>
        <w:snapToGrid/>
        <w:spacing w:after="0" w:line="560" w:lineRule="exact"/>
        <w:ind w:firstLine="42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科研能力培育：重点开展文献检索策略、科研课题设计、项目标书撰写、医学论文撰写与投稿技巧等专项培训，助力进修医师构建科研思维；</w:t>
      </w:r>
    </w:p>
    <w:p>
      <w:pPr>
        <w:keepNext w:val="0"/>
        <w:keepLines w:val="0"/>
        <w:pageBreakBefore w:val="0"/>
        <w:widowControl w:val="0"/>
        <w:kinsoku/>
        <w:wordWrap/>
        <w:overflowPunct/>
        <w:topLinePunct w:val="0"/>
        <w:autoSpaceDE/>
        <w:autoSpaceDN/>
        <w:bidi w:val="0"/>
        <w:adjustRightInd/>
        <w:snapToGrid/>
        <w:spacing w:after="0" w:line="560" w:lineRule="exact"/>
        <w:ind w:firstLine="42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3</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学科前沿动态：定期开设肛肠专科新进展专题讲座，内容涵盖本学科前沿技术、诊疗理念革新，以及肛肠学科与交叉学科的融合发展趋势，助力进修医师同步行业前沿。</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培训实施形式</w:t>
      </w:r>
    </w:p>
    <w:p>
      <w:pPr>
        <w:keepNext w:val="0"/>
        <w:keepLines w:val="0"/>
        <w:pageBreakBefore w:val="0"/>
        <w:widowControl w:val="0"/>
        <w:kinsoku/>
        <w:wordWrap/>
        <w:overflowPunct/>
        <w:topLinePunct w:val="0"/>
        <w:autoSpaceDE/>
        <w:autoSpaceDN/>
        <w:bidi w:val="0"/>
        <w:adjustRightInd/>
        <w:snapToGrid/>
        <w:spacing w:after="0" w:line="560" w:lineRule="exact"/>
        <w:ind w:firstLine="42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采用“理论+实践+研讨”三位一体的多元化培养模式，具体包括专科专题授课、一对一临床操作带教、常规查房与教学查房相结合、疑难病例多维度研讨及临床实战进修等形式，确保理论知识与临床实践深度融合。</w:t>
      </w:r>
    </w:p>
    <w:p>
      <w:pPr>
        <w:keepNext w:val="0"/>
        <w:keepLines w:val="0"/>
        <w:pageBreakBefore w:val="0"/>
        <w:widowControl w:val="0"/>
        <w:kinsoku/>
        <w:wordWrap/>
        <w:overflowPunct/>
        <w:topLinePunct w:val="0"/>
        <w:autoSpaceDE/>
        <w:autoSpaceDN/>
        <w:bidi w:val="0"/>
        <w:adjustRightInd/>
        <w:snapToGrid/>
        <w:spacing w:after="0" w:line="560" w:lineRule="exact"/>
        <w:textAlignment w:val="auto"/>
        <w:rPr>
          <w:rFonts w:hint="eastAsia" w:ascii="仿宋_GB2312" w:hAnsi="仿宋_GB2312" w:eastAsia="仿宋_GB2312" w:cs="仿宋_GB2312"/>
          <w:kern w:val="0"/>
          <w:sz w:val="32"/>
          <w:szCs w:val="32"/>
        </w:rPr>
      </w:pPr>
    </w:p>
    <w:p>
      <w:pPr>
        <w:keepNext w:val="0"/>
        <w:keepLines w:val="0"/>
        <w:pageBreakBefore w:val="0"/>
        <w:widowControl w:val="0"/>
        <w:kinsoku/>
        <w:wordWrap/>
        <w:overflowPunct/>
        <w:topLinePunct w:val="0"/>
        <w:autoSpaceDE/>
        <w:autoSpaceDN/>
        <w:bidi w:val="0"/>
        <w:adjustRightInd/>
        <w:snapToGrid/>
        <w:spacing w:after="0" w:line="560" w:lineRule="exact"/>
        <w:textAlignment w:val="auto"/>
        <w:rPr>
          <w:rFonts w:hint="eastAsia" w:ascii="仿宋_GB2312" w:hAnsi="仿宋_GB2312" w:eastAsia="仿宋_GB2312" w:cs="仿宋_GB2312"/>
          <w:kern w:val="0"/>
          <w:sz w:val="32"/>
          <w:szCs w:val="32"/>
        </w:rPr>
      </w:pPr>
      <w:bookmarkStart w:id="0" w:name="_GoBack"/>
      <w:bookmarkEnd w:id="0"/>
    </w:p>
    <w:p>
      <w:pPr>
        <w:keepNext w:val="0"/>
        <w:keepLines w:val="0"/>
        <w:pageBreakBefore w:val="0"/>
        <w:widowControl w:val="0"/>
        <w:kinsoku/>
        <w:wordWrap/>
        <w:overflowPunct/>
        <w:topLinePunct w:val="0"/>
        <w:autoSpaceDE/>
        <w:autoSpaceDN/>
        <w:bidi w:val="0"/>
        <w:adjustRightInd/>
        <w:snapToGrid/>
        <w:spacing w:after="0" w:line="560" w:lineRule="exact"/>
        <w:ind w:firstLine="5440" w:firstLineChars="17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中西医结合外科</w:t>
      </w:r>
    </w:p>
    <w:p>
      <w:pPr>
        <w:keepNext w:val="0"/>
        <w:keepLines w:val="0"/>
        <w:pageBreakBefore w:val="0"/>
        <w:widowControl w:val="0"/>
        <w:kinsoku/>
        <w:wordWrap/>
        <w:overflowPunct/>
        <w:topLinePunct w:val="0"/>
        <w:autoSpaceDE/>
        <w:autoSpaceDN/>
        <w:bidi w:val="0"/>
        <w:adjustRightInd/>
        <w:snapToGrid/>
        <w:spacing w:after="0" w:line="560" w:lineRule="exact"/>
        <w:ind w:firstLine="5440" w:firstLineChars="1700"/>
        <w:textAlignment w:val="auto"/>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2026年1月15日</w:t>
      </w:r>
    </w:p>
    <w:p>
      <w:pPr>
        <w:keepNext w:val="0"/>
        <w:keepLines w:val="0"/>
        <w:pageBreakBefore w:val="0"/>
        <w:widowControl w:val="0"/>
        <w:kinsoku/>
        <w:wordWrap/>
        <w:overflowPunct/>
        <w:topLinePunct w:val="0"/>
        <w:autoSpaceDE/>
        <w:autoSpaceDN/>
        <w:bidi w:val="0"/>
        <w:adjustRightInd/>
        <w:snapToGrid/>
        <w:spacing w:after="0" w:line="560" w:lineRule="exact"/>
        <w:textAlignment w:val="auto"/>
        <w:rPr>
          <w:rFonts w:hint="eastAsia" w:ascii="仿宋_GB2312" w:hAnsi="仿宋_GB2312" w:eastAsia="仿宋_GB2312" w:cs="仿宋_GB2312"/>
          <w:kern w:val="0"/>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3D03"/>
    <w:rsid w:val="0003123F"/>
    <w:rsid w:val="00061125"/>
    <w:rsid w:val="00085934"/>
    <w:rsid w:val="000E1C04"/>
    <w:rsid w:val="001044D3"/>
    <w:rsid w:val="001227D5"/>
    <w:rsid w:val="00183596"/>
    <w:rsid w:val="001A420A"/>
    <w:rsid w:val="00213D03"/>
    <w:rsid w:val="00243453"/>
    <w:rsid w:val="002A2E43"/>
    <w:rsid w:val="002D0B67"/>
    <w:rsid w:val="002D2027"/>
    <w:rsid w:val="002E5441"/>
    <w:rsid w:val="003400A5"/>
    <w:rsid w:val="003451E1"/>
    <w:rsid w:val="0037041C"/>
    <w:rsid w:val="003B5E63"/>
    <w:rsid w:val="003B5ED6"/>
    <w:rsid w:val="003B7861"/>
    <w:rsid w:val="003F4105"/>
    <w:rsid w:val="004D7AC1"/>
    <w:rsid w:val="004F7D6E"/>
    <w:rsid w:val="00505546"/>
    <w:rsid w:val="00594FC9"/>
    <w:rsid w:val="005A2138"/>
    <w:rsid w:val="005B1AFD"/>
    <w:rsid w:val="005B7900"/>
    <w:rsid w:val="005C3545"/>
    <w:rsid w:val="005D2ACF"/>
    <w:rsid w:val="005D7DC9"/>
    <w:rsid w:val="00610D8C"/>
    <w:rsid w:val="00644AA1"/>
    <w:rsid w:val="00662F90"/>
    <w:rsid w:val="006A1A38"/>
    <w:rsid w:val="006D5A78"/>
    <w:rsid w:val="006E72AF"/>
    <w:rsid w:val="00766A79"/>
    <w:rsid w:val="00767B09"/>
    <w:rsid w:val="00793508"/>
    <w:rsid w:val="007B5EF3"/>
    <w:rsid w:val="007C236D"/>
    <w:rsid w:val="0080202B"/>
    <w:rsid w:val="008358F8"/>
    <w:rsid w:val="00853085"/>
    <w:rsid w:val="009361E3"/>
    <w:rsid w:val="00954C49"/>
    <w:rsid w:val="00970D36"/>
    <w:rsid w:val="009D4DCF"/>
    <w:rsid w:val="009F06EE"/>
    <w:rsid w:val="00AE324E"/>
    <w:rsid w:val="00AF5E0B"/>
    <w:rsid w:val="00B406A0"/>
    <w:rsid w:val="00B42D6D"/>
    <w:rsid w:val="00BD3D2E"/>
    <w:rsid w:val="00BF57B0"/>
    <w:rsid w:val="00C61917"/>
    <w:rsid w:val="00C7189B"/>
    <w:rsid w:val="00CB75A7"/>
    <w:rsid w:val="00CC248F"/>
    <w:rsid w:val="00CE0EAA"/>
    <w:rsid w:val="00CE5167"/>
    <w:rsid w:val="00D229FA"/>
    <w:rsid w:val="00DA430E"/>
    <w:rsid w:val="00E54FB9"/>
    <w:rsid w:val="00E64871"/>
    <w:rsid w:val="00E81C93"/>
    <w:rsid w:val="00E8343A"/>
    <w:rsid w:val="00EC48BA"/>
    <w:rsid w:val="00F074B1"/>
    <w:rsid w:val="00F125EB"/>
    <w:rsid w:val="00F26441"/>
    <w:rsid w:val="00F633AF"/>
    <w:rsid w:val="00F76F29"/>
    <w:rsid w:val="14974B07"/>
    <w:rsid w:val="170101E6"/>
    <w:rsid w:val="285F51BF"/>
    <w:rsid w:val="722614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name="Balloon Text"/>
    <w:lsdException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annotation text"/>
    <w:basedOn w:val="1"/>
    <w:semiHidden/>
    <w:uiPriority w:val="0"/>
    <w:pPr>
      <w:jc w:val="left"/>
    </w:pPr>
  </w:style>
  <w:style w:type="paragraph" w:styleId="3">
    <w:name w:val="Date"/>
    <w:basedOn w:val="1"/>
    <w:next w:val="1"/>
    <w:link w:val="14"/>
    <w:uiPriority w:val="0"/>
    <w:pPr>
      <w:ind w:left="100" w:leftChars="2500"/>
    </w:pPr>
  </w:style>
  <w:style w:type="paragraph" w:styleId="4">
    <w:name w:val="Balloon Text"/>
    <w:basedOn w:val="1"/>
    <w:semiHidden/>
    <w:uiPriority w:val="0"/>
    <w:rPr>
      <w:sz w:val="18"/>
      <w:szCs w:val="18"/>
    </w:rPr>
  </w:style>
  <w:style w:type="paragraph" w:styleId="5">
    <w:name w:val="footer"/>
    <w:basedOn w:val="1"/>
    <w:link w:val="13"/>
    <w:uiPriority w:val="0"/>
    <w:pPr>
      <w:tabs>
        <w:tab w:val="center" w:pos="4153"/>
        <w:tab w:val="right" w:pos="8306"/>
      </w:tabs>
      <w:snapToGrid w:val="0"/>
      <w:jc w:val="left"/>
    </w:pPr>
    <w:rPr>
      <w:sz w:val="18"/>
      <w:szCs w:val="18"/>
    </w:rPr>
  </w:style>
  <w:style w:type="paragraph" w:styleId="6">
    <w:name w:val="header"/>
    <w:basedOn w:val="1"/>
    <w:link w:val="12"/>
    <w:uiPriority w:val="0"/>
    <w:pPr>
      <w:pBdr>
        <w:bottom w:val="single" w:color="auto" w:sz="6" w:space="1"/>
      </w:pBdr>
      <w:tabs>
        <w:tab w:val="center" w:pos="4153"/>
        <w:tab w:val="right" w:pos="8306"/>
      </w:tabs>
      <w:snapToGrid w:val="0"/>
      <w:jc w:val="center"/>
    </w:pPr>
    <w:rPr>
      <w:sz w:val="18"/>
      <w:szCs w:val="18"/>
    </w:rPr>
  </w:style>
  <w:style w:type="paragraph" w:styleId="7">
    <w:name w:val="annotation subject"/>
    <w:basedOn w:val="2"/>
    <w:next w:val="2"/>
    <w:semiHidden/>
    <w:qFormat/>
    <w:uiPriority w:val="0"/>
    <w:rPr>
      <w:b/>
      <w:bCs/>
    </w:rPr>
  </w:style>
  <w:style w:type="table" w:styleId="9">
    <w:name w:val="Table Grid"/>
    <w:basedOn w:val="8"/>
    <w:uiPriority w:val="3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annotation reference"/>
    <w:semiHidden/>
    <w:uiPriority w:val="0"/>
    <w:rPr>
      <w:sz w:val="21"/>
      <w:szCs w:val="21"/>
    </w:rPr>
  </w:style>
  <w:style w:type="character" w:customStyle="1" w:styleId="12">
    <w:name w:val="页眉 字符"/>
    <w:link w:val="6"/>
    <w:uiPriority w:val="0"/>
    <w:rPr>
      <w:kern w:val="2"/>
      <w:sz w:val="18"/>
      <w:szCs w:val="18"/>
    </w:rPr>
  </w:style>
  <w:style w:type="character" w:customStyle="1" w:styleId="13">
    <w:name w:val="页脚 字符"/>
    <w:link w:val="5"/>
    <w:uiPriority w:val="0"/>
    <w:rPr>
      <w:kern w:val="2"/>
      <w:sz w:val="18"/>
      <w:szCs w:val="18"/>
    </w:rPr>
  </w:style>
  <w:style w:type="character" w:customStyle="1" w:styleId="14">
    <w:name w:val="日期 字符"/>
    <w:link w:val="3"/>
    <w:uiPriority w:val="0"/>
    <w:rPr>
      <w:kern w:val="2"/>
      <w:sz w:val="21"/>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2018-06-27T00:35:00Z</dcterms:created>
  <dc:creator>Dr. Tong</dc:creator>
  <cp:lastModifiedBy>zhang</cp:lastModifiedBy>
  <dcterms:modified xsi:type="dcterms:W3CDTF">2026-01-15T08:24:21Z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ies>
</file>